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72" w:rsidRPr="00F01785" w:rsidRDefault="00C86D72" w:rsidP="00C86D72">
      <w:pPr>
        <w:spacing w:before="75" w:after="75" w:line="255" w:lineRule="atLeast"/>
        <w:jc w:val="center"/>
        <w:rPr>
          <w:rFonts w:ascii="Garamond" w:hAnsi="Garamond"/>
          <w:b/>
          <w:bCs/>
          <w:iCs/>
          <w:sz w:val="32"/>
          <w:szCs w:val="32"/>
        </w:rPr>
      </w:pPr>
      <w:bookmarkStart w:id="0" w:name="_GoBack"/>
      <w:r w:rsidRPr="00F01785">
        <w:rPr>
          <w:rFonts w:ascii="Garamond" w:hAnsi="Garamond"/>
          <w:b/>
          <w:bCs/>
          <w:iCs/>
          <w:sz w:val="32"/>
          <w:szCs w:val="32"/>
        </w:rPr>
        <w:t>Tehnična priporočila za izdelavo diplomskega dela</w:t>
      </w:r>
    </w:p>
    <w:bookmarkEnd w:id="0"/>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 xml:space="preserve">Diplomsko delo mora biti oblikovno in jezikovno pravilno. Njegovi deli si sledijo v naslednjem vrstnem redu: naslovna stran, zahvala, izvleček, ključne besede, kazalo vsebine, uvod, osrednji del, zaključek, povzetek, literatura in viri, seznam prilog ter priloge, izjava o avtorstvu. </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Prednje platnice</w:t>
      </w:r>
      <w:r w:rsidRPr="00C86D72">
        <w:rPr>
          <w:rFonts w:ascii="Garamond" w:hAnsi="Garamond"/>
          <w:bCs/>
          <w:iCs/>
          <w:sz w:val="24"/>
          <w:szCs w:val="24"/>
        </w:rPr>
        <w:t xml:space="preserve"> diplomskega dela vsebujejo iste sestavine kot naslovna stran, razen navedbe mentorja in somentorja in študijske smeri </w:t>
      </w:r>
      <w:r w:rsidRPr="00C86D72">
        <w:rPr>
          <w:rFonts w:ascii="Garamond" w:hAnsi="Garamond"/>
          <w:b/>
          <w:bCs/>
          <w:i/>
          <w:iCs/>
          <w:sz w:val="24"/>
          <w:szCs w:val="24"/>
        </w:rPr>
        <w:t>(primer 1).</w:t>
      </w:r>
      <w:r w:rsidRPr="00C86D72">
        <w:rPr>
          <w:rFonts w:ascii="Garamond" w:hAnsi="Garamond"/>
          <w:bCs/>
          <w:iCs/>
          <w:sz w:val="24"/>
          <w:szCs w:val="24"/>
        </w:rPr>
        <w:t xml:space="preserve"> Barva platnic in črk na platnicah je poljubna, vendar naj bodo črke dobro vidne.</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Hrbet</w:t>
      </w:r>
      <w:r w:rsidRPr="00C86D72">
        <w:rPr>
          <w:rFonts w:ascii="Garamond" w:hAnsi="Garamond"/>
          <w:bCs/>
          <w:iCs/>
          <w:sz w:val="24"/>
          <w:szCs w:val="24"/>
        </w:rPr>
        <w:t xml:space="preserve"> diplomskega dela, če je dovolj prostora, naj vsebuje ime in priimek avtorice ter za razmikom 20 mm oznako diplomsko delo (od spodaj navzgor, 30 mm od spodnjega roba, oboje z velikimi tiskanimi črkami, velikost črk največ 14), primer:</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ŽIVA NOVAK</w:t>
      </w:r>
      <w:r w:rsidRPr="00C86D72">
        <w:rPr>
          <w:rFonts w:ascii="Garamond" w:hAnsi="Garamond"/>
          <w:bCs/>
          <w:iCs/>
          <w:sz w:val="24"/>
          <w:szCs w:val="24"/>
        </w:rPr>
        <w:tab/>
      </w:r>
      <w:r w:rsidRPr="00C86D72">
        <w:rPr>
          <w:rFonts w:ascii="Garamond" w:hAnsi="Garamond"/>
          <w:bCs/>
          <w:iCs/>
          <w:sz w:val="24"/>
          <w:szCs w:val="24"/>
        </w:rPr>
        <w:tab/>
        <w:t>DIPLOMSKO DELO</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
          <w:iCs/>
          <w:sz w:val="24"/>
          <w:szCs w:val="24"/>
        </w:rPr>
      </w:pPr>
      <w:r w:rsidRPr="00C86D72">
        <w:rPr>
          <w:rFonts w:ascii="Garamond" w:hAnsi="Garamond"/>
          <w:b/>
          <w:bCs/>
          <w:iCs/>
          <w:sz w:val="24"/>
          <w:szCs w:val="24"/>
        </w:rPr>
        <w:t>Naslovna stran</w:t>
      </w:r>
      <w:r w:rsidRPr="00C86D72">
        <w:rPr>
          <w:rFonts w:ascii="Garamond" w:hAnsi="Garamond"/>
          <w:bCs/>
          <w:iCs/>
          <w:sz w:val="24"/>
          <w:szCs w:val="24"/>
        </w:rPr>
        <w:t xml:space="preserve"> diplomskega dela naj ima vrstični razmik 1 in odstavčne razmike, kot je vidno na primerih, vsebuje pa naslednje podatke </w:t>
      </w:r>
      <w:r w:rsidRPr="00C86D72">
        <w:rPr>
          <w:rFonts w:ascii="Garamond" w:hAnsi="Garamond"/>
          <w:b/>
          <w:bCs/>
          <w:i/>
          <w:iCs/>
          <w:sz w:val="24"/>
          <w:szCs w:val="24"/>
        </w:rPr>
        <w:t>(primer 2):</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 xml:space="preserve">naziv univerze, fakultete in oddelka z velikimi tiskanimi črkami (sredinska poravnava, velike tiskane črke, velikost 14); </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ime in priimek avtorice (sredinska poravnava, velike tiskane črke, velikost 14, krepko);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poudarjeni naslov dela (sredinska poravnava, male tiskane črke, velikost 18, krepko);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podnaslov dela (sredinska poravnava, male tiskane črke, velikost 12);</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oznako Diplomsko delo (sredinska poravnava, male tiskane črke, velikost 12);</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levo ime in priimek mentoric, somentoric z akademskim in znanstvenim nazivom in desno navedba študijskega programa oz. programov (male tiskane črke, velikost 12) in</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kraj in leto izida (sredinska poravnava, male tiskane črke, velikost 12).</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 xml:space="preserve">Pri delih na jezikovnih oddelkih sta v jeziku naloge navedena glavni stvarni naslov in podnaslov, ostali podatki so v slovenščini. Glavnemu stvarnemu naslovu in podnaslovu v tujem jeziku sledita vzporedni stvarni naslov in podnaslov v slovenščini </w:t>
      </w:r>
      <w:r w:rsidRPr="00C86D72">
        <w:rPr>
          <w:rFonts w:ascii="Garamond" w:hAnsi="Garamond"/>
          <w:b/>
          <w:bCs/>
          <w:i/>
          <w:iCs/>
          <w:sz w:val="24"/>
          <w:szCs w:val="24"/>
        </w:rPr>
        <w:t>(primer 3).</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
          <w:iCs/>
          <w:sz w:val="24"/>
          <w:szCs w:val="24"/>
        </w:rPr>
      </w:pPr>
      <w:r w:rsidRPr="00C86D72">
        <w:rPr>
          <w:rFonts w:ascii="Garamond" w:hAnsi="Garamond"/>
          <w:b/>
          <w:bCs/>
          <w:i/>
          <w:iCs/>
          <w:sz w:val="24"/>
          <w:szCs w:val="24"/>
        </w:rPr>
        <w:t>Skupno diplomsko delo na dveh oddelkih ali študijskih programih Filozofske fakultete</w:t>
      </w:r>
    </w:p>
    <w:p w:rsidR="00C86D72" w:rsidRPr="00C86D72" w:rsidRDefault="00C86D72" w:rsidP="00C86D72">
      <w:pPr>
        <w:spacing w:before="75" w:after="75" w:line="255" w:lineRule="atLeast"/>
        <w:jc w:val="both"/>
        <w:rPr>
          <w:rFonts w:ascii="Garamond" w:hAnsi="Garamond"/>
          <w:b/>
          <w:bCs/>
          <w:i/>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Izdelano mora biti v enotni obliki in ne v dveh verzijah. Mentorici se dogovorita, kateri oddelek in katera mentorica bo najprej navedena</w:t>
      </w:r>
      <w:r w:rsidRPr="00C86D72">
        <w:rPr>
          <w:rFonts w:ascii="Garamond" w:hAnsi="Garamond"/>
          <w:bCs/>
          <w:i/>
          <w:iCs/>
          <w:sz w:val="24"/>
          <w:szCs w:val="24"/>
        </w:rPr>
        <w:t xml:space="preserve"> </w:t>
      </w:r>
      <w:r w:rsidRPr="00C86D72">
        <w:rPr>
          <w:rFonts w:ascii="Garamond" w:hAnsi="Garamond"/>
          <w:b/>
          <w:bCs/>
          <w:i/>
          <w:iCs/>
          <w:sz w:val="24"/>
          <w:szCs w:val="24"/>
        </w:rPr>
        <w:t>(primer 4).</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jezikovni in nejezikovni program</w:t>
      </w:r>
      <w:r w:rsidRPr="00C86D72">
        <w:rPr>
          <w:rFonts w:ascii="Garamond" w:hAnsi="Garamond"/>
          <w:b/>
          <w:bCs/>
          <w:iCs/>
          <w:sz w:val="24"/>
          <w:szCs w:val="24"/>
        </w:rPr>
        <w:t xml:space="preserve"> </w:t>
      </w:r>
      <w:r w:rsidRPr="00C86D72">
        <w:rPr>
          <w:rFonts w:ascii="Garamond" w:hAnsi="Garamond"/>
          <w:b/>
          <w:bCs/>
          <w:i/>
          <w:iCs/>
          <w:sz w:val="24"/>
          <w:szCs w:val="24"/>
        </w:rPr>
        <w:t>(primer 5)</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Mentoricia se dogovorita, v katerem jeziku bo napisano delo. Naslov in podnaslov morata biti navedena v slovenščini in jeziku jezikovnega oddelka. Če je delo napisano v tujem jeziku, je tudi naslov najprej v tem jeziku. Če je delo napisano v slovenščini, se najprej navede naslov v slovenščini.</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 xml:space="preserve">dva jezikovna oddelka </w:t>
      </w:r>
      <w:r w:rsidRPr="00C86D72">
        <w:rPr>
          <w:rFonts w:ascii="Garamond" w:hAnsi="Garamond"/>
          <w:b/>
          <w:bCs/>
          <w:i/>
          <w:iCs/>
          <w:sz w:val="24"/>
          <w:szCs w:val="24"/>
        </w:rPr>
        <w:t>(primer 6)</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 xml:space="preserve">Pri skupnem diplomskem delu na dveh jezikovnih oddelkih je naslov naveden v obeh jezikih (kombinacija s slovenistiko) ali v treh jezikih (obe jezikovni smeri in slovenščina), za vrstni red med </w:t>
      </w:r>
      <w:r w:rsidRPr="00C86D72">
        <w:rPr>
          <w:rFonts w:ascii="Garamond" w:hAnsi="Garamond"/>
          <w:bCs/>
          <w:iCs/>
          <w:sz w:val="24"/>
          <w:szCs w:val="24"/>
        </w:rPr>
        <w:lastRenderedPageBreak/>
        <w:t>obema neslovenskima naslovoma se dogovorita mentorici. Najprej je naveden naslov v jeziku pretežnega dela diplomskega dela.</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
          <w:iCs/>
          <w:sz w:val="24"/>
          <w:szCs w:val="24"/>
        </w:rPr>
      </w:pPr>
      <w:r w:rsidRPr="00C86D72">
        <w:rPr>
          <w:rFonts w:ascii="Garamond" w:hAnsi="Garamond"/>
          <w:b/>
          <w:bCs/>
          <w:i/>
          <w:iCs/>
          <w:sz w:val="24"/>
          <w:szCs w:val="24"/>
        </w:rPr>
        <w:t>Skupno diplomsko delo na dveh fakultetah UL</w:t>
      </w:r>
      <w:r w:rsidRPr="00C86D72">
        <w:rPr>
          <w:rFonts w:ascii="Garamond" w:hAnsi="Garamond"/>
          <w:bCs/>
          <w:i/>
          <w:iCs/>
          <w:sz w:val="24"/>
          <w:szCs w:val="24"/>
        </w:rPr>
        <w:t xml:space="preserve"> </w:t>
      </w:r>
      <w:r w:rsidRPr="00C86D72">
        <w:rPr>
          <w:rFonts w:ascii="Garamond" w:hAnsi="Garamond"/>
          <w:b/>
          <w:bCs/>
          <w:i/>
          <w:iCs/>
          <w:sz w:val="24"/>
          <w:szCs w:val="24"/>
        </w:rPr>
        <w:t>(primer 7)</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Izdelano mora biti v enotni obliki in ne v dveh verzijah. Mentorici se dogovorita, katera fakulteta in katera mentorica bo najprej navedena.</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r>
      <w:r w:rsidRPr="00C86D72">
        <w:rPr>
          <w:rFonts w:ascii="Garamond" w:hAnsi="Garamond"/>
          <w:bCs/>
          <w:i/>
          <w:iCs/>
          <w:sz w:val="24"/>
          <w:szCs w:val="24"/>
        </w:rPr>
        <w:t xml:space="preserve">jezikovni oddelek na FF in program na drugi fakulteti </w:t>
      </w:r>
      <w:r w:rsidRPr="00C86D72">
        <w:rPr>
          <w:rFonts w:ascii="Garamond" w:hAnsi="Garamond"/>
          <w:b/>
          <w:bCs/>
          <w:i/>
          <w:iCs/>
          <w:sz w:val="24"/>
          <w:szCs w:val="24"/>
        </w:rPr>
        <w:t>(primer 8)</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Mentorici se dogovorita, v katerem jeziku bo napisano delo. Naslov in podnaslov morata biti navedena v slovenščini in jeziku jezikovnega oddelka. Če je delo napisano v tujem jeziku, je tudi naslov najprej v tem jeziku. Če je delo napisano v slovenščini, se najprej navede naslov v slovenščini.</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Zahvala</w:t>
      </w:r>
      <w:r w:rsidRPr="00C86D72">
        <w:rPr>
          <w:rFonts w:ascii="Garamond" w:hAnsi="Garamond"/>
          <w:bCs/>
          <w:iCs/>
          <w:sz w:val="24"/>
          <w:szCs w:val="24"/>
        </w:rPr>
        <w:t xml:space="preserve"> – po želji avtorice.</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Izvleček</w:t>
      </w:r>
      <w:r w:rsidRPr="00C86D72">
        <w:rPr>
          <w:rFonts w:ascii="Garamond" w:hAnsi="Garamond"/>
          <w:bCs/>
          <w:iCs/>
          <w:sz w:val="24"/>
          <w:szCs w:val="24"/>
        </w:rPr>
        <w:t xml:space="preserve"> – v slovenskem in angleškem jeziku. Pri izvlečku v angleščini se navede tudi prevod naslova </w:t>
      </w:r>
      <w:r w:rsidRPr="00C86D72">
        <w:rPr>
          <w:rFonts w:ascii="Garamond" w:hAnsi="Garamond"/>
          <w:b/>
          <w:bCs/>
          <w:i/>
          <w:iCs/>
          <w:sz w:val="24"/>
          <w:szCs w:val="24"/>
        </w:rPr>
        <w:t>(primer 9).</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Ključne besede</w:t>
      </w:r>
      <w:r w:rsidRPr="00C86D72">
        <w:rPr>
          <w:rFonts w:ascii="Garamond" w:hAnsi="Garamond"/>
          <w:bCs/>
          <w:iCs/>
          <w:sz w:val="24"/>
          <w:szCs w:val="24"/>
        </w:rPr>
        <w:t xml:space="preserve"> – do pet ključnih besed v slovenskem in angleškem jeziku.</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Kazalo</w:t>
      </w:r>
      <w:r w:rsidRPr="00C86D72">
        <w:rPr>
          <w:rFonts w:ascii="Garamond" w:hAnsi="Garamond"/>
          <w:bCs/>
          <w:iCs/>
          <w:sz w:val="24"/>
          <w:szCs w:val="24"/>
        </w:rPr>
        <w:t xml:space="preserve"> vseh poglavij in podpoglavij z navedbo strani.</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Povzetek v slovenskem jeziku (velja tako za diplomska dela, pisana v slovenskem jeziku, kot za diplomska dela, pisana v tujem jeziku). Oddelki lahko določijo, da se povzetek pripravi tudi v tujem jeziku.</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Literatura in viri</w:t>
      </w:r>
      <w:r w:rsidRPr="00C86D72">
        <w:rPr>
          <w:rFonts w:ascii="Garamond" w:hAnsi="Garamond"/>
          <w:bCs/>
          <w:iCs/>
          <w:sz w:val="24"/>
          <w:szCs w:val="24"/>
        </w:rPr>
        <w:t xml:space="preserve"> – dosledno po enotnem sistemu navajanja virov, ki ga oddelek objavi na svoji spletni strani. Ob morebitnih nesoglasjih v primeru skupnega diplomskega dela odloča oddelek, ki administrativno vodi postopke v zvezi z oddajo in zagovorom diplomskega dela.</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Seznam prilog</w:t>
      </w:r>
      <w:r w:rsidRPr="00C86D72">
        <w:rPr>
          <w:rFonts w:ascii="Garamond" w:hAnsi="Garamond"/>
          <w:bCs/>
          <w:iCs/>
          <w:sz w:val="24"/>
          <w:szCs w:val="24"/>
        </w:rPr>
        <w:t xml:space="preserve"> – priloge so lahko vključene v tekst ali pa so zbrane na koncu.</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Besedilo diplomskega dela naj bo: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dvostransko natisnjeno na papirju formata A4;</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obojestransko poravnano;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s standardnimi robovi (25 mm);</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v dobro čitljivem standardnem črkovnem naboru, velikost črk 12, razmik 1 ali 1,5 vrstice.</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Knjižnični izvod diplomskega dela naj bo trdo vezan.</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Knjižnice oddelkov inventarizirajo in hranijo en izvod diplomskega dela. V primeru skupnih diplomskih del hranita knjižnici obeh oddelkov vsaka svoj izvod.</w:t>
      </w:r>
    </w:p>
    <w:p w:rsidR="00C86D72" w:rsidRPr="00C86D72" w:rsidRDefault="00C86D72" w:rsidP="00C86D72">
      <w:pPr>
        <w:spacing w:before="75" w:after="75" w:line="255" w:lineRule="atLeast"/>
        <w:jc w:val="both"/>
        <w:rPr>
          <w:rFonts w:ascii="Garamond" w:hAnsi="Garamond"/>
          <w:b/>
          <w:bCs/>
          <w:iCs/>
          <w:sz w:val="24"/>
          <w:szCs w:val="24"/>
        </w:rPr>
      </w:pPr>
      <w:r w:rsidRPr="00C86D72">
        <w:rPr>
          <w:rFonts w:ascii="Garamond" w:hAnsi="Garamond"/>
          <w:b/>
          <w:bCs/>
          <w:iCs/>
          <w:sz w:val="24"/>
          <w:szCs w:val="24"/>
        </w:rPr>
        <w:t>Primer 1</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lastRenderedPageBreak/>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ETNOLOGIJO IN KULTURNO ANTROPOLOGIJO</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Kaos in kozmos med albanskim in makedonskim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prebivalstvom v Gostivarju v Makedoniji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Vzpostavljanje identitet s koncepti reda in nereda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2</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lastRenderedPageBreak/>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ETNOLOGIJO IN KULTURNO ANTROPOLOGIJO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Kaos in kozmos med albanskim in makedonskim</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prebivalstvom v Gostivarju v Makedoniji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Vzpostavljanje identitet s koncepti reda in nereda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 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Univerzitetni študijski program prve </w:t>
      </w:r>
    </w:p>
    <w:p w:rsidR="00C86D72" w:rsidRPr="00C86D72" w:rsidRDefault="00C86D72" w:rsidP="00C86D72">
      <w:pPr>
        <w:spacing w:before="75" w:after="75" w:line="255" w:lineRule="atLeast"/>
        <w:ind w:left="2832" w:firstLine="708"/>
        <w:jc w:val="right"/>
        <w:rPr>
          <w:rFonts w:ascii="Garamond" w:hAnsi="Garamond"/>
          <w:bCs/>
          <w:iCs/>
          <w:sz w:val="24"/>
          <w:szCs w:val="24"/>
        </w:rPr>
      </w:pPr>
      <w:r w:rsidRPr="00C86D72">
        <w:rPr>
          <w:rFonts w:ascii="Garamond" w:hAnsi="Garamond"/>
          <w:bCs/>
          <w:iCs/>
          <w:sz w:val="24"/>
          <w:szCs w:val="24"/>
        </w:rPr>
        <w:t xml:space="preserve">stopnje: Etnologija in kulturna antropologija </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3</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GERMANISTIKO Z NEDERLANDISTIKO IN SKANDINAVISTIKO</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Bürgernähe</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Ein Optimierungsversuch der deutschen Verwaltungssprache</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Bralcu prijazno pisanje</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Poskus optimizacije nemškega uradovalnega jezika</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Univerzitetni študijski program prve </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 xml:space="preserve">izr. prof. dr. Janez Koren            </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 stopnje: Germanistika</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ab/>
        <w:t xml:space="preserve"> </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4</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GEOGRAFIJO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SOCIOLOGIJO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Prilagoditev človeške vrste na različne dejavnike okolja in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značilnosti izoliranega razvoja na Madagaskarju</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Mentorji:</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Dvopredmetni univerzitetni študijski </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 xml:space="preserve">doc. dr. Katja Petek, </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Geografija;</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Sociologija</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 xml:space="preserve"> </w:t>
      </w: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5</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ZGODOVINO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SLAVISTIKO</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Socijalistički realizam u jugoslovenskoj umjetnosti od 1945. do 1952. godine</w:t>
      </w:r>
    </w:p>
    <w:p w:rsidR="00C86D72" w:rsidRPr="00C86D72" w:rsidRDefault="00C86D72" w:rsidP="00C86D72">
      <w:pPr>
        <w:spacing w:before="75" w:after="75" w:line="255" w:lineRule="atLeast"/>
        <w:jc w:val="center"/>
        <w:rPr>
          <w:rFonts w:ascii="Garamond" w:hAnsi="Garamond"/>
          <w:b/>
          <w:bCs/>
          <w:iCs/>
          <w:sz w:val="36"/>
          <w:szCs w:val="36"/>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Socialistični realizem v jugoslovanski umetnosti med letoma 1945 in 1952</w:t>
      </w:r>
    </w:p>
    <w:p w:rsidR="00C86D72" w:rsidRPr="00C86D72" w:rsidRDefault="00C86D72" w:rsidP="00C86D72">
      <w:pPr>
        <w:spacing w:before="75" w:after="75" w:line="255" w:lineRule="atLeast"/>
        <w:rPr>
          <w:rFonts w:ascii="Garamond" w:hAnsi="Garamond"/>
          <w:bCs/>
          <w:iCs/>
          <w:sz w:val="36"/>
          <w:szCs w:val="36"/>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Mentorja:</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Dvopredmetni univerzitetni študijski </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Zgodovina;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Dvopredmetni univerzitetni študijski </w:t>
      </w:r>
    </w:p>
    <w:p w:rsidR="00C86D72" w:rsidRPr="00C86D72" w:rsidRDefault="00C86D72" w:rsidP="00C86D72">
      <w:pPr>
        <w:spacing w:before="75" w:after="75" w:line="255" w:lineRule="atLeast"/>
        <w:ind w:left="4248" w:firstLine="708"/>
        <w:rPr>
          <w:rFonts w:ascii="Garamond" w:hAnsi="Garamond"/>
          <w:bCs/>
          <w:iCs/>
          <w:sz w:val="24"/>
          <w:szCs w:val="24"/>
        </w:rPr>
      </w:pPr>
      <w:r w:rsidRPr="00C86D72">
        <w:rPr>
          <w:rFonts w:ascii="Garamond" w:hAnsi="Garamond"/>
          <w:bCs/>
          <w:iCs/>
          <w:sz w:val="24"/>
          <w:szCs w:val="24"/>
        </w:rPr>
        <w:t>program prve stopnje Južnoslovanski študiji</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6</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ANGLISTIKO IN AMERIKANISTIKO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ROMANSKE JEZIKE IN KNJIŽEVNOSTI</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Teaching Grammar to Adult and Teenage Learners: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Inductive and Deductive Approach</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(English and French as Foreign Languages)</w:t>
      </w:r>
    </w:p>
    <w:p w:rsidR="00C86D72" w:rsidRPr="00C86D72" w:rsidRDefault="00C86D72" w:rsidP="00C86D72">
      <w:pPr>
        <w:spacing w:before="75" w:after="75" w:line="255" w:lineRule="atLeast"/>
        <w:jc w:val="center"/>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Enseigner la grammaire aux adolescents et aux adultes: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Approche inductive at déductive</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(Français et anglais langues étrangères)</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Poučevanje slovnice pri najstnikih in pri odraslih učencih: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Induktivni in deduktivni pristop</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(Angleščina in francoščina kot tuji jezik)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Mentorja:</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                Dvopredmetni univerzitetni študijski</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t xml:space="preserve">                program prve stopnje Anglistika;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Boštjan Ficko</w:t>
      </w:r>
      <w:r w:rsidRPr="00C86D72">
        <w:rPr>
          <w:rFonts w:ascii="Garamond" w:hAnsi="Garamond"/>
          <w:bCs/>
          <w:iCs/>
          <w:sz w:val="24"/>
          <w:szCs w:val="24"/>
        </w:rPr>
        <w:tab/>
      </w:r>
      <w:r w:rsidRPr="00C86D72">
        <w:rPr>
          <w:rFonts w:ascii="Garamond" w:hAnsi="Garamond"/>
          <w:bCs/>
          <w:iCs/>
          <w:sz w:val="24"/>
          <w:szCs w:val="24"/>
        </w:rPr>
        <w:tab/>
        <w:t xml:space="preserve">                Dvopredmetni univerzitetni študijski program</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Somentorica:</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                prve stopnje Francistika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7</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ZGODOVINA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in</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TEOLOŠKA FAKULTETA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Zgodovinske okoliščine nastanka kumranskih rokopisov</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Zgodovina;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Somentor:</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Boštjan Ficko</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Teološke študije</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8</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ANGLISTIKO IN AMERIKANISTIKO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in</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TEOLOŠKA FAKULTETA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Female Clergy In Anglosaxon Comunity</w:t>
      </w:r>
    </w:p>
    <w:p w:rsidR="00C86D72" w:rsidRPr="00C86D72" w:rsidRDefault="00C86D72" w:rsidP="00C86D72">
      <w:pPr>
        <w:spacing w:before="75" w:after="75" w:line="255" w:lineRule="atLeast"/>
        <w:jc w:val="center"/>
        <w:rPr>
          <w:rFonts w:ascii="Garamond" w:hAnsi="Garamond"/>
          <w:b/>
          <w:bCs/>
          <w:iCs/>
          <w:sz w:val="36"/>
          <w:szCs w:val="36"/>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Žensko duhovništvo v anglikanski skupnosti</w:t>
      </w:r>
    </w:p>
    <w:p w:rsidR="00C86D72" w:rsidRPr="00C86D72" w:rsidRDefault="00C86D72" w:rsidP="00C86D72">
      <w:pPr>
        <w:spacing w:before="75" w:after="75" w:line="255" w:lineRule="atLeast"/>
        <w:jc w:val="center"/>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Mentorici:</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Zgodovina;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doc. dr. Katja Petek</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ind w:left="4248" w:firstLine="708"/>
        <w:rPr>
          <w:rFonts w:ascii="Garamond" w:hAnsi="Garamond"/>
          <w:bCs/>
          <w:iCs/>
          <w:sz w:val="24"/>
          <w:szCs w:val="24"/>
        </w:rPr>
      </w:pPr>
      <w:r w:rsidRPr="00C86D72">
        <w:rPr>
          <w:rFonts w:ascii="Garamond" w:hAnsi="Garamond"/>
          <w:bCs/>
          <w:iCs/>
          <w:sz w:val="24"/>
          <w:szCs w:val="24"/>
        </w:rPr>
        <w:t>program prve stopnje Teološke študije</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9</w:t>
      </w: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Izvleček</w:t>
      </w: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Kaos in kozmos med albanskim in makedonskim prebivalstvom v Gostivarju v Makedoniji</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 xml:space="preserve">Diplomsko delo skuša osvetliti vprašanja kdaj, kje in kako (ne) prihaja do interakcij med albanskim in makedonskim prebivalstvom v Gostivarju. Ulice, kafiči in taksiji se kažejo kot prizorišča, kjer se nenehno vzpostavljajo in ohranjajo ločnice med »nami« in »njimi«, kjer se torej oblikujejo in vzpostavljajo identitete, tako etnične kot spolne, na katere se avtorica najbolj osredotoča. Predpostavlja, da je vzpostavljanje identitet povezano s koncepti kaosa in kozmosa, oziroma reda in nereda. Identificiramo se z določanjem podobnosti ter razlik od nas, ki smo v centru (kozmosu), ter z iskanjem ločnic med »nami« in »njimi« oziroma med kozmosom in kaosom. Strah, da bi postali »kot oni« ter izgubili »svojo identiteto«, vzpostavlja mehanizme družbenega nadzora. Ti posameznikom preprečujejo, da bi stopili v kaos, ki ga predstavlja »druga« etnična skupina. Eden takšnih mehanizmov je opravljanje. Slednjemu so izpostavljena predvsem dekleta, ki so v okoliščinah, ko prestopajo ločnico med kozmosom in kaosom označene za »kurbe«. Medetnične zveze se zdijo največji tabu; vzorci obnašanja na ulicah, v kafičih in taksijih pa se kažejo kot varovalni mehanizmi družbe oz. skupnosti, da ne bi prišlo do njih. Ključno vprašanje, ki se pri tem postavlja namreč je: kakšna bo identiteta otrok? Zdi se, da se togost ločnic konča pri ekonomiji. Nakupuje se v trgovinah, kjer je ceneje, če ni drugega dela, se dekleta zaposlijo tudi pri delodajalcih različne etnične pripadnosti. Pripadniki različnih etničnih skupin se občasno družijo na fakulteti, v šoli, službi, morda pa službi, a izjemno redko v prostem času. </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Ključne besede:</w:t>
      </w:r>
      <w:r w:rsidRPr="00C86D72">
        <w:rPr>
          <w:rFonts w:ascii="Garamond" w:hAnsi="Garamond"/>
          <w:bCs/>
          <w:iCs/>
          <w:sz w:val="24"/>
          <w:szCs w:val="24"/>
        </w:rPr>
        <w:t xml:space="preserve"> identitete, medetnični odnosi, Albanci, Makedonci, Makedonija</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Cs/>
          <w:sz w:val="24"/>
          <w:szCs w:val="24"/>
        </w:rPr>
      </w:pPr>
      <w:r w:rsidRPr="00C86D72">
        <w:rPr>
          <w:rFonts w:ascii="Garamond" w:hAnsi="Garamond"/>
          <w:b/>
          <w:bCs/>
          <w:iCs/>
          <w:sz w:val="24"/>
          <w:szCs w:val="24"/>
        </w:rPr>
        <w:t>Abstract</w:t>
      </w:r>
    </w:p>
    <w:p w:rsidR="00C86D72" w:rsidRPr="00C86D72" w:rsidRDefault="00C86D72" w:rsidP="00C86D72">
      <w:pPr>
        <w:spacing w:before="75" w:after="75" w:line="255" w:lineRule="atLeast"/>
        <w:jc w:val="both"/>
        <w:rPr>
          <w:rFonts w:ascii="Garamond" w:hAnsi="Garamond"/>
          <w:b/>
          <w:bCs/>
          <w:iCs/>
          <w:sz w:val="24"/>
          <w:szCs w:val="24"/>
        </w:rPr>
      </w:pPr>
      <w:r w:rsidRPr="00C86D72">
        <w:rPr>
          <w:rFonts w:ascii="Garamond" w:hAnsi="Garamond"/>
          <w:b/>
          <w:bCs/>
          <w:iCs/>
          <w:sz w:val="24"/>
          <w:szCs w:val="24"/>
        </w:rPr>
        <w:t>Chaos and Cosmos between Albanian and Macedonian Inhabitants of Gostivar in Macedonia</w:t>
      </w:r>
    </w:p>
    <w:p w:rsidR="00C86D72" w:rsidRPr="00C86D72" w:rsidRDefault="00C86D72" w:rsidP="00C86D72">
      <w:pPr>
        <w:spacing w:before="75" w:after="75" w:line="255" w:lineRule="atLeast"/>
        <w:jc w:val="both"/>
        <w:rPr>
          <w:rFonts w:ascii="Garamond" w:hAnsi="Garamond"/>
          <w:b/>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Undergraduate thesis attempts to illuminate the questions when, where and how the interactions between Albanian and Macedonian inhabitants of Gostivar (do not) occur. Streets, coffee places and taxis appear to be places where boundaries between »us« and »them« (and this ethnical and gender identities) are constantly being established and maintained. The author presupposes that establishing of identities is connected to concepts of chaos and cosmos, of order and disorder. Placing ourselves in the centre (cosmos), we identify with defining similarties and differences from us, therefore with defining boundaries between »us« and »them«, between cosmos and chaos. Fear od becoming »as them« and loosing »own« identity is establishing mechanisms of social control. They prevent the individuals from entring the chaos, which the »other« ethnical group represents. One of such mechanisms is gossip, to which especially girls seem to be exposed. In circumstances when they trespass on boundaries between chaos and cosmos they are labelled as »prostitutes«. Inter ethnic bonds seem to be the biggest taboo, while patterns of behaviour in the streets, coffee places and taxis seem to protect society/ community from breaking the taboo. Fundamental question with inter ethnic marriages is: what will be the identity of the children? It seems that the rigidity of boundaries ends with economy. People are shopping where it is cheaper. If the girls do not find another job, they would employ at employer who is of different ethnical background. Members of various ethnical backgrounds occasionally mix in the faculty, school, work, maybe after work, but very rarely in their free time.</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Key words:</w:t>
      </w:r>
      <w:r w:rsidRPr="00C86D72">
        <w:rPr>
          <w:rFonts w:ascii="Garamond" w:hAnsi="Garamond"/>
          <w:bCs/>
          <w:iCs/>
          <w:sz w:val="24"/>
          <w:szCs w:val="24"/>
        </w:rPr>
        <w:t xml:space="preserve"> identities, interethnic relations, Albanians, Macedonians, Macedonia</w:t>
      </w:r>
    </w:p>
    <w:p w:rsidR="00383F48" w:rsidRDefault="00383F48"/>
    <w:sectPr w:rsidR="00383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D72" w:rsidRDefault="00C86D72" w:rsidP="00C86D72">
      <w:pPr>
        <w:spacing w:after="0" w:line="240" w:lineRule="auto"/>
      </w:pPr>
      <w:r>
        <w:separator/>
      </w:r>
    </w:p>
  </w:endnote>
  <w:endnote w:type="continuationSeparator" w:id="0">
    <w:p w:rsidR="00C86D72" w:rsidRDefault="00C86D72" w:rsidP="00C8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D72" w:rsidRDefault="00C86D72" w:rsidP="00C86D72">
      <w:pPr>
        <w:spacing w:after="0" w:line="240" w:lineRule="auto"/>
      </w:pPr>
      <w:r>
        <w:separator/>
      </w:r>
    </w:p>
  </w:footnote>
  <w:footnote w:type="continuationSeparator" w:id="0">
    <w:p w:rsidR="00C86D72" w:rsidRDefault="00C86D72" w:rsidP="00C86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75BE"/>
    <w:multiLevelType w:val="hybridMultilevel"/>
    <w:tmpl w:val="81CE2D24"/>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3256B44"/>
    <w:multiLevelType w:val="hybridMultilevel"/>
    <w:tmpl w:val="8662D42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72"/>
    <w:rsid w:val="00383F48"/>
    <w:rsid w:val="00C07695"/>
    <w:rsid w:val="00C86D72"/>
    <w:rsid w:val="00F017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1B493-4E4B-48E6-A461-455EB988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C86D72"/>
    <w:pPr>
      <w:spacing w:after="0" w:line="240" w:lineRule="auto"/>
    </w:pPr>
    <w:rPr>
      <w:rFonts w:ascii="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C86D72"/>
    <w:rPr>
      <w:rFonts w:ascii="Calibri" w:hAnsi="Calibri" w:cs="Times New Roman"/>
      <w:sz w:val="20"/>
      <w:szCs w:val="20"/>
    </w:rPr>
  </w:style>
  <w:style w:type="character" w:styleId="Sprotnaopomba-sklic">
    <w:name w:val="footnote reference"/>
    <w:basedOn w:val="Privzetapisavaodstavka"/>
    <w:uiPriority w:val="99"/>
    <w:semiHidden/>
    <w:unhideWhenUsed/>
    <w:rsid w:val="00C86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1852</Words>
  <Characters>10561</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Sešek</dc:creator>
  <cp:keywords/>
  <dc:description/>
  <cp:lastModifiedBy>Doris Sattler</cp:lastModifiedBy>
  <cp:revision>3</cp:revision>
  <dcterms:created xsi:type="dcterms:W3CDTF">2020-05-04T11:30:00Z</dcterms:created>
  <dcterms:modified xsi:type="dcterms:W3CDTF">2020-05-04T11:33:00Z</dcterms:modified>
</cp:coreProperties>
</file>